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425"/>
        <w:jc w:val="center"/>
        <w:spacing w:before="360" w:after="120"/>
        <w:rPr>
          <w:rFonts w:ascii="Times New Roman" w:hAnsi="Times New Roman" w:eastAsia="Calibri"/>
          <w:b/>
          <w:caps/>
          <w:sz w:val="26"/>
          <w:szCs w:val="26"/>
        </w:rPr>
      </w:pPr>
      <w:r>
        <w:rPr>
          <w:rFonts w:ascii="Times New Roman" w:hAnsi="Times New Roman" w:eastAsia="Calibri"/>
          <w:b/>
          <w:caps/>
          <w:sz w:val="26"/>
          <w:szCs w:val="26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Calibri"/>
          <w:sz w:val="26"/>
          <w:szCs w:val="26"/>
        </w:rPr>
        <w:t xml:space="preserve"> / </w:t>
      </w:r>
      <w:r>
        <w:rPr>
          <w:rFonts w:ascii="Times New Roman" w:hAnsi="Times New Roman" w:eastAsia="Calibri"/>
          <w:b/>
          <w:caps/>
          <w:sz w:val="26"/>
          <w:szCs w:val="26"/>
        </w:rPr>
        <w:t xml:space="preserve">цены единицы товара, работы, услуги</w:t>
      </w:r>
      <w:r>
        <w:rPr>
          <w:rFonts w:ascii="Times New Roman" w:hAnsi="Times New Roman" w:eastAsia="Calibri"/>
          <w:b/>
          <w:caps/>
          <w:sz w:val="26"/>
          <w:szCs w:val="26"/>
        </w:rPr>
      </w:r>
      <w:r>
        <w:rPr>
          <w:rFonts w:ascii="Times New Roman" w:hAnsi="Times New Roman" w:eastAsia="Calibri"/>
          <w:b/>
          <w:caps/>
          <w:sz w:val="26"/>
          <w:szCs w:val="26"/>
        </w:rPr>
      </w:r>
    </w:p>
    <w:p>
      <w:pPr>
        <w:numPr>
          <w:ilvl w:val="0"/>
          <w:numId w:val="1"/>
        </w:numPr>
        <w:ind w:left="714" w:hanging="357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</w:rPr>
      </w:pPr>
      <w:r>
        <w:rPr>
          <w:rFonts w:ascii="Times New Roman" w:hAnsi="Times New Roman" w:eastAsia="Calibri"/>
          <w:b/>
          <w:sz w:val="26"/>
          <w:szCs w:val="26"/>
        </w:rPr>
        <w:t xml:space="preserve">Общая информация</w:t>
      </w:r>
      <w:r>
        <w:rPr>
          <w:rFonts w:ascii="Times New Roman" w:hAnsi="Times New Roman" w:eastAsia="Calibri"/>
          <w:b/>
          <w:sz w:val="26"/>
          <w:szCs w:val="26"/>
        </w:rPr>
      </w:r>
      <w:r>
        <w:rPr>
          <w:rFonts w:ascii="Times New Roman" w:hAnsi="Times New Roman" w:eastAsia="Calibri"/>
          <w:b/>
          <w:sz w:val="26"/>
          <w:szCs w:val="26"/>
        </w:rPr>
      </w:r>
    </w:p>
    <w:tbl>
      <w:tblPr>
        <w:tblStyle w:val="841"/>
        <w:tblW w:w="9952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709"/>
        <w:gridCol w:w="2409"/>
        <w:gridCol w:w="6834"/>
      </w:tblGrid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п</w:t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/п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6834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Информация по лоту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Наименование лота</w:t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</w:r>
          </w:p>
        </w:tc>
        <w:tc>
          <w:tcPr>
            <w:tcW w:w="6834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pPr>
            <w:r>
              <w:rPr>
                <w:rFonts w:ascii="Times New Roman" w:hAnsi="Times New Roman" w:eastAsia="Calibri"/>
                <w:sz w:val="26"/>
                <w:szCs w:val="26"/>
              </w:rPr>
            </w:r>
            <w:r>
              <w:rPr>
                <w:rFonts w:ascii="Times New Roman" w:hAnsi="Times New Roman" w:eastAsia="Calibri"/>
                <w:sz w:val="26"/>
                <w:szCs w:val="26"/>
              </w:rPr>
              <w:t xml:space="preserve">ОКПД2 33.11.12.000 Выполнение работ по текущему ремонту бака-аккумулятора горячей воды №2 Котельного цеха №2 Приморских тепловых сетей, г. Владивосток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shd w:val="clear" w:color="auto" w:fill="ffff99"/>
                <w:lang w:eastAsia="ru-RU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  <w:t xml:space="preserve">Номер лота</w:t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</w:p>
        </w:tc>
        <w:tc>
          <w:tcPr>
            <w:tcW w:w="6834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Times New Roman"/>
                <w:i/>
                <w:sz w:val="26"/>
                <w:szCs w:val="26"/>
                <w:highlight w:val="white"/>
                <w:shd w:val="clear" w:color="auto" w:fill="ffff99"/>
              </w:rPr>
            </w:pP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  <w:t xml:space="preserve">11037007-РЕМ ПРОД-2026-ДГК-ПТС</w:t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highlight w:val="white"/>
                <w:shd w:val="clear" w:color="auto" w:fill="ffff99"/>
              </w:rPr>
            </w:r>
            <w:r>
              <w:rPr>
                <w:rFonts w:ascii="Times New Roman" w:hAnsi="Times New Roman" w:eastAsia="Times New Roman"/>
                <w:i/>
                <w:sz w:val="26"/>
                <w:szCs w:val="26"/>
                <w:highlight w:val="white"/>
                <w:shd w:val="clear" w:color="auto" w:fill="ffff99"/>
              </w:rPr>
            </w:r>
          </w:p>
        </w:tc>
      </w:tr>
      <w:tr>
        <w:tblPrEx/>
        <w:trPr/>
        <w:tc>
          <w:tcPr>
            <w:tcW w:w="709" w:type="dxa"/>
            <w:textDirection w:val="lrTb"/>
            <w:noWrap w:val="false"/>
          </w:tcPr>
          <w:p>
            <w:pPr>
              <w:numPr>
                <w:ilvl w:val="1"/>
                <w:numId w:val="1"/>
              </w:numPr>
              <w:contextualSpacing/>
              <w:ind w:left="0" w:firstLine="0"/>
              <w:spacing w:before="120" w:after="120" w:line="360" w:lineRule="exact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</w:p>
        </w:tc>
        <w:tc>
          <w:tcPr>
            <w:tcW w:w="2409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  <w:t xml:space="preserve">НМЦ</w:t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</w:p>
        </w:tc>
        <w:tc>
          <w:tcPr>
            <w:tcW w:w="6834" w:type="dxa"/>
            <w:textDirection w:val="lrTb"/>
            <w:noWrap w:val="false"/>
          </w:tcPr>
          <w:p>
            <w:pPr>
              <w:contextualSpacing/>
              <w:spacing w:before="120" w:line="360" w:lineRule="exact"/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pPr>
            <w:r>
              <w:rPr>
                <w:rFonts w:ascii="Times New Roman" w:hAnsi="Times New Roman" w:eastAsia="Calibri"/>
                <w:sz w:val="26"/>
                <w:szCs w:val="26"/>
                <w:highlight w:val="white"/>
                <w:lang w:val="en-US"/>
              </w:rPr>
              <w:t xml:space="preserve">1</w:t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  <w:lang w:val="en-US"/>
              </w:rPr>
              <w:t xml:space="preserve">9 433 956</w:t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  <w:lang w:val="en-US"/>
              </w:rPr>
              <w:t xml:space="preserve">, 00 </w:t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  <w:t xml:space="preserve">руб</w:t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  <w:t xml:space="preserve">.</w:t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  <w:r>
              <w:rPr>
                <w:rFonts w:ascii="Times New Roman" w:hAnsi="Times New Roman" w:eastAsia="Calibri"/>
                <w:sz w:val="26"/>
                <w:szCs w:val="26"/>
                <w:highlight w:val="white"/>
              </w:rPr>
            </w:r>
          </w:p>
        </w:tc>
      </w:tr>
    </w:tbl>
    <w:p>
      <w:pPr>
        <w:ind w:left="0" w:firstLine="0"/>
        <w:jc w:val="both"/>
        <w:spacing w:before="120" w:after="120" w:line="360" w:lineRule="exact"/>
        <w:rPr>
          <w:rFonts w:ascii="Times New Roman" w:hAnsi="Times New Roman" w:eastAsia="Calibri"/>
          <w:b/>
          <w:sz w:val="26"/>
          <w:szCs w:val="26"/>
          <w:highlight w:val="white"/>
        </w:rPr>
      </w:pPr>
      <w:r>
        <w:rPr>
          <w:rFonts w:ascii="Times New Roman" w:hAnsi="Times New Roman" w:eastAsia="Calibri"/>
          <w:b/>
          <w:sz w:val="26"/>
          <w:szCs w:val="26"/>
          <w:highlight w:val="none"/>
        </w:rPr>
        <w:t xml:space="preserve">2. </w:t>
      </w:r>
      <w:r>
        <w:rPr>
          <w:rFonts w:ascii="Times New Roman" w:hAnsi="Times New Roman" w:eastAsia="Calibri"/>
          <w:b/>
          <w:sz w:val="26"/>
          <w:szCs w:val="26"/>
          <w:highlight w:val="white"/>
        </w:rPr>
        <w:t xml:space="preserve">Использованный метод (методы) расчета НМЦ / цены единицы товара, работы, услуги:</w:t>
      </w:r>
      <w:r>
        <w:rPr>
          <w:rFonts w:ascii="Times New Roman" w:hAnsi="Times New Roman" w:eastAsia="Calibri"/>
          <w:b/>
          <w:sz w:val="26"/>
          <w:szCs w:val="26"/>
          <w:highlight w:val="white"/>
        </w:rPr>
      </w:r>
      <w:r>
        <w:rPr>
          <w:rFonts w:ascii="Times New Roman" w:hAnsi="Times New Roman" w:eastAsia="Calibri"/>
          <w:b/>
          <w:sz w:val="26"/>
          <w:szCs w:val="26"/>
          <w:highlight w:val="white"/>
        </w:rPr>
      </w:r>
    </w:p>
    <w:p>
      <w:pPr>
        <w:ind w:left="0"/>
        <w:jc w:val="both"/>
        <w:rPr>
          <w:rFonts w:ascii="Times New Roman" w:hAnsi="Times New Roman" w:eastAsia="Calibri"/>
          <w:sz w:val="26"/>
          <w:szCs w:val="26"/>
          <w:highlight w:val="none"/>
        </w:rPr>
      </w:pPr>
      <w:r>
        <w:rPr>
          <w:rFonts w:ascii="Times New Roman" w:hAnsi="Times New Roman" w:eastAsia="Calibri"/>
          <w:sz w:val="26"/>
          <w:szCs w:val="26"/>
          <w:highlight w:val="white"/>
        </w:rPr>
        <w:t xml:space="preserve">Ресурсно-индексный метод</w:t>
      </w:r>
      <w:bookmarkStart w:id="0" w:name="_GoBack"/>
      <w:r>
        <w:rPr>
          <w:highlight w:val="white"/>
        </w:rPr>
      </w:r>
      <w:bookmarkEnd w:id="0"/>
      <w:r>
        <w:rPr>
          <w:rFonts w:ascii="Times New Roman" w:hAnsi="Times New Roman" w:eastAsia="Calibri"/>
          <w:sz w:val="26"/>
          <w:szCs w:val="26"/>
          <w:highlight w:val="white"/>
        </w:rPr>
      </w:r>
      <w:r>
        <w:rPr>
          <w:rFonts w:ascii="Times New Roman" w:hAnsi="Times New Roman" w:eastAsia="Calibri"/>
          <w:sz w:val="26"/>
          <w:szCs w:val="26"/>
          <w:highlight w:val="none"/>
        </w:rPr>
      </w:r>
    </w:p>
    <w:p>
      <w:pPr>
        <w:ind w:left="0"/>
        <w:jc w:val="both"/>
        <w:rPr>
          <w:rFonts w:ascii="Times New Roman" w:hAnsi="Times New Roman" w:eastAsia="Calibri"/>
          <w:sz w:val="26"/>
          <w:szCs w:val="26"/>
          <w:highlight w:val="white"/>
        </w:rPr>
      </w:pPr>
      <w:r>
        <w:rPr>
          <w:rFonts w:ascii="Times New Roman" w:hAnsi="Times New Roman" w:eastAsia="Calibri"/>
          <w:sz w:val="26"/>
          <w:szCs w:val="26"/>
          <w:highlight w:val="none"/>
        </w:rPr>
      </w:r>
      <w:r>
        <w:rPr>
          <w:rFonts w:ascii="Times New Roman" w:hAnsi="Times New Roman" w:eastAsia="Calibri"/>
          <w:sz w:val="26"/>
          <w:szCs w:val="26"/>
          <w:highlight w:val="none"/>
        </w:rPr>
      </w:r>
    </w:p>
    <w:p>
      <w:pPr>
        <w:ind w:left="0" w:firstLine="708"/>
        <w:jc w:val="both"/>
        <w:rPr>
          <w:rFonts w:ascii="Times New Roman" w:hAnsi="Times New Roman" w:eastAsia="Calibri"/>
          <w:sz w:val="26"/>
          <w:szCs w:val="26"/>
          <w:highlight w:val="white"/>
        </w:rPr>
      </w:pPr>
      <w:r>
        <w:rPr>
          <w:rFonts w:ascii="Times New Roman" w:hAnsi="Times New Roman" w:eastAsia="Calibri"/>
          <w:sz w:val="26"/>
          <w:szCs w:val="26"/>
          <w:highlight w:val="white"/>
        </w:rPr>
        <w:t xml:space="preserve">Обоснование расчета НМЦ: </w:t>
      </w:r>
      <w:r>
        <w:rPr>
          <w:rFonts w:ascii="Times New Roman" w:hAnsi="Times New Roman" w:eastAsia="Calibri"/>
          <w:sz w:val="26"/>
          <w:szCs w:val="26"/>
          <w:highlight w:val="white"/>
        </w:rPr>
        <w:t xml:space="preserve">прилагаемый сводный сметный расчет </w:t>
      </w:r>
      <w:r>
        <w:rPr>
          <w:rFonts w:ascii="Times New Roman" w:hAnsi="Times New Roman" w:eastAsia="Calibri"/>
          <w:sz w:val="26"/>
          <w:szCs w:val="26"/>
          <w:highlight w:val="white"/>
        </w:rPr>
        <w:t xml:space="preserve">(Приложение </w:t>
      </w:r>
      <w:r>
        <w:rPr>
          <w:rFonts w:ascii="Times New Roman" w:hAnsi="Times New Roman" w:eastAsia="Calibri"/>
          <w:sz w:val="26"/>
          <w:szCs w:val="26"/>
          <w:highlight w:val="white"/>
        </w:rPr>
        <w:t xml:space="preserve">№4 к Те</w:t>
      </w:r>
      <w:r>
        <w:rPr>
          <w:rFonts w:ascii="Times New Roman" w:hAnsi="Times New Roman" w:eastAsia="Calibri"/>
          <w:sz w:val="26"/>
          <w:szCs w:val="26"/>
          <w:highlight w:val="white"/>
        </w:rPr>
        <w:t xml:space="preserve">хническим требованиям</w:t>
      </w:r>
      <w:r>
        <w:rPr>
          <w:rFonts w:ascii="Times New Roman" w:hAnsi="Times New Roman" w:eastAsia="Calibri"/>
          <w:sz w:val="26"/>
          <w:szCs w:val="26"/>
          <w:highlight w:val="white"/>
        </w:rPr>
        <w:t xml:space="preserve">)</w:t>
      </w:r>
      <w:r>
        <w:rPr>
          <w:rFonts w:ascii="Times New Roman" w:hAnsi="Times New Roman" w:eastAsia="Calibri"/>
          <w:sz w:val="26"/>
          <w:szCs w:val="26"/>
          <w:highlight w:val="none"/>
        </w:rPr>
        <w:t xml:space="preserve">.</w:t>
      </w:r>
      <w:r>
        <w:rPr>
          <w:rFonts w:ascii="Times New Roman" w:hAnsi="Times New Roman" w:eastAsia="Calibri"/>
          <w:sz w:val="26"/>
          <w:szCs w:val="26"/>
          <w:highlight w:val="white"/>
        </w:rPr>
      </w:r>
      <w:r>
        <w:rPr>
          <w:rFonts w:ascii="Times New Roman" w:hAnsi="Times New Roman" w:eastAsia="Calibri"/>
          <w:sz w:val="26"/>
          <w:szCs w:val="26"/>
          <w:highlight w:val="white"/>
        </w:rPr>
      </w:r>
    </w:p>
    <w:p>
      <w:pPr>
        <w:rPr>
          <w:rFonts w:asciiTheme="minorHAnsi" w:hAnsiTheme="minorHAnsi"/>
          <w:sz w:val="26"/>
          <w:szCs w:val="26"/>
          <w:highlight w:val="white"/>
        </w:rPr>
      </w:pPr>
      <w:r>
        <w:rPr>
          <w:rFonts w:asciiTheme="minorHAnsi" w:hAnsiTheme="minorHAnsi"/>
          <w:sz w:val="26"/>
          <w:szCs w:val="26"/>
          <w:highlight w:val="white"/>
        </w:rPr>
      </w:r>
      <w:r>
        <w:rPr>
          <w:rFonts w:asciiTheme="minorHAnsi" w:hAnsiTheme="minorHAnsi"/>
          <w:sz w:val="26"/>
          <w:szCs w:val="26"/>
          <w:highlight w:val="white"/>
        </w:rPr>
      </w:r>
      <w:r>
        <w:rPr>
          <w:rFonts w:asciiTheme="minorHAnsi" w:hAnsiTheme="minorHAnsi"/>
          <w:sz w:val="26"/>
          <w:szCs w:val="26"/>
          <w:highlight w:val="white"/>
        </w:rPr>
      </w:r>
    </w:p>
    <w:p>
      <w:pPr>
        <w:rPr>
          <w:rFonts w:asciiTheme="minorHAnsi" w:hAnsiTheme="minorHAnsi"/>
          <w:sz w:val="26"/>
          <w:szCs w:val="26"/>
          <w:highlight w:val="white"/>
        </w:rPr>
      </w:pPr>
      <w:r>
        <w:rPr>
          <w:rFonts w:asciiTheme="minorHAnsi" w:hAnsiTheme="minorHAnsi"/>
          <w:sz w:val="26"/>
          <w:szCs w:val="26"/>
          <w:highlight w:val="white"/>
        </w:rPr>
      </w:r>
      <w:r>
        <w:rPr>
          <w:rFonts w:asciiTheme="minorHAnsi" w:hAnsiTheme="minorHAnsi"/>
          <w:sz w:val="26"/>
          <w:szCs w:val="26"/>
          <w:highlight w:val="white"/>
        </w:rPr>
      </w:r>
      <w:r>
        <w:rPr>
          <w:rFonts w:asciiTheme="minorHAnsi" w:hAnsiTheme="minorHAnsi"/>
          <w:sz w:val="26"/>
          <w:szCs w:val="26"/>
          <w:highlight w:val="white"/>
        </w:rPr>
      </w:r>
    </w:p>
    <w:p>
      <w:pPr>
        <w:rPr>
          <w:rFonts w:asciiTheme="minorHAnsi" w:hAnsiTheme="minorHAnsi"/>
          <w:sz w:val="26"/>
          <w:szCs w:val="26"/>
          <w:highlight w:val="white"/>
        </w:rPr>
      </w:pPr>
      <w:r>
        <w:rPr>
          <w:rFonts w:asciiTheme="minorHAnsi" w:hAnsiTheme="minorHAnsi"/>
          <w:sz w:val="26"/>
          <w:szCs w:val="26"/>
          <w:highlight w:val="white"/>
        </w:rPr>
      </w:r>
      <w:r>
        <w:rPr>
          <w:rFonts w:asciiTheme="minorHAnsi" w:hAnsiTheme="minorHAnsi"/>
          <w:sz w:val="26"/>
          <w:szCs w:val="26"/>
          <w:highlight w:val="white"/>
        </w:rPr>
      </w:r>
      <w:r>
        <w:rPr>
          <w:rFonts w:asciiTheme="minorHAnsi" w:hAnsiTheme="minorHAnsi"/>
          <w:sz w:val="26"/>
          <w:szCs w:val="26"/>
          <w:highlight w:val="white"/>
        </w:rPr>
      </w:r>
    </w:p>
    <w:p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  <w:r>
        <w:rPr>
          <w:rFonts w:asciiTheme="minorHAnsi" w:hAnsiTheme="minorHAnsi"/>
          <w:sz w:val="26"/>
          <w:szCs w:val="26"/>
        </w:rPr>
      </w:r>
    </w:p>
    <w:sectPr>
      <w:footnotePr/>
      <w:endnotePr/>
      <w:type w:val="nextPage"/>
      <w:pgSz w:w="11906" w:h="16838" w:orient="portrait"/>
      <w:pgMar w:top="567" w:right="737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Geneva">
    <w:panose1 w:val="02000603000000000000"/>
  </w:font>
  <w:font w:name="Times New Roman">
    <w:panose1 w:val="02020603050405020304"/>
  </w:font>
  <w:font w:name="Geneva CY">
    <w:panose1 w:val="02000603000000000000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7"/>
    <w:next w:val="837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38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7"/>
    <w:next w:val="837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38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7"/>
    <w:next w:val="837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38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7"/>
    <w:next w:val="837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38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7"/>
    <w:next w:val="837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38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7"/>
    <w:next w:val="837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38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7"/>
    <w:next w:val="837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38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7"/>
    <w:next w:val="837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38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7"/>
    <w:next w:val="837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38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No Spacing"/>
    <w:uiPriority w:val="1"/>
    <w:qFormat/>
    <w:pPr>
      <w:spacing w:before="0" w:after="0" w:line="240" w:lineRule="auto"/>
    </w:pPr>
  </w:style>
  <w:style w:type="paragraph" w:styleId="683">
    <w:name w:val="Title"/>
    <w:basedOn w:val="837"/>
    <w:next w:val="837"/>
    <w:link w:val="68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4">
    <w:name w:val="Title Char"/>
    <w:basedOn w:val="838"/>
    <w:link w:val="683"/>
    <w:uiPriority w:val="10"/>
    <w:rPr>
      <w:sz w:val="48"/>
      <w:szCs w:val="48"/>
    </w:rPr>
  </w:style>
  <w:style w:type="paragraph" w:styleId="685">
    <w:name w:val="Subtitle"/>
    <w:basedOn w:val="837"/>
    <w:next w:val="837"/>
    <w:link w:val="686"/>
    <w:uiPriority w:val="11"/>
    <w:qFormat/>
    <w:pPr>
      <w:spacing w:before="200" w:after="200"/>
    </w:pPr>
    <w:rPr>
      <w:sz w:val="24"/>
      <w:szCs w:val="24"/>
    </w:rPr>
  </w:style>
  <w:style w:type="character" w:styleId="686">
    <w:name w:val="Subtitle Char"/>
    <w:basedOn w:val="838"/>
    <w:link w:val="685"/>
    <w:uiPriority w:val="11"/>
    <w:rPr>
      <w:sz w:val="24"/>
      <w:szCs w:val="24"/>
    </w:rPr>
  </w:style>
  <w:style w:type="paragraph" w:styleId="687">
    <w:name w:val="Quote"/>
    <w:basedOn w:val="837"/>
    <w:next w:val="837"/>
    <w:link w:val="688"/>
    <w:uiPriority w:val="29"/>
    <w:qFormat/>
    <w:pPr>
      <w:ind w:left="720" w:right="720"/>
    </w:pPr>
    <w:rPr>
      <w:i/>
    </w:rPr>
  </w:style>
  <w:style w:type="character" w:styleId="688">
    <w:name w:val="Quote Char"/>
    <w:link w:val="687"/>
    <w:uiPriority w:val="29"/>
    <w:rPr>
      <w:i/>
    </w:rPr>
  </w:style>
  <w:style w:type="paragraph" w:styleId="689">
    <w:name w:val="Intense Quote"/>
    <w:basedOn w:val="837"/>
    <w:next w:val="837"/>
    <w:link w:val="69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0">
    <w:name w:val="Intense Quote Char"/>
    <w:link w:val="689"/>
    <w:uiPriority w:val="30"/>
    <w:rPr>
      <w:i/>
    </w:rPr>
  </w:style>
  <w:style w:type="paragraph" w:styleId="691">
    <w:name w:val="Header"/>
    <w:basedOn w:val="837"/>
    <w:link w:val="69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2">
    <w:name w:val="Header Char"/>
    <w:basedOn w:val="838"/>
    <w:link w:val="691"/>
    <w:uiPriority w:val="99"/>
  </w:style>
  <w:style w:type="paragraph" w:styleId="693">
    <w:name w:val="Footer"/>
    <w:basedOn w:val="837"/>
    <w:link w:val="69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94">
    <w:name w:val="Footer Char"/>
    <w:basedOn w:val="838"/>
    <w:link w:val="693"/>
    <w:uiPriority w:val="99"/>
  </w:style>
  <w:style w:type="paragraph" w:styleId="695">
    <w:name w:val="Caption"/>
    <w:basedOn w:val="837"/>
    <w:next w:val="837"/>
    <w:link w:val="69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6">
    <w:name w:val="Caption Char"/>
    <w:basedOn w:val="695"/>
    <w:link w:val="693"/>
    <w:uiPriority w:val="99"/>
  </w:style>
  <w:style w:type="table" w:styleId="697">
    <w:name w:val="Table Grid Light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8">
    <w:name w:val="Plain Table 1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2"/>
    <w:basedOn w:val="83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00">
    <w:name w:val="Plain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1">
    <w:name w:val="Plain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Plain Table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3">
    <w:name w:val="Grid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0">
    <w:name w:val="Grid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4">
    <w:name w:val="Grid Table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5">
    <w:name w:val="Grid Table 4 - Accent 1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6">
    <w:name w:val="Grid Table 4 - Accent 2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7">
    <w:name w:val="Grid Table 4 - Accent 3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8">
    <w:name w:val="Grid Table 4 - Accent 4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9">
    <w:name w:val="Grid Table 4 - Accent 5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30">
    <w:name w:val="Grid Table 4 - Accent 6"/>
    <w:basedOn w:val="83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1">
    <w:name w:val="Grid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2">
    <w:name w:val="Grid Table 5 Dark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4">
    <w:name w:val="Grid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5">
    <w:name w:val="Grid Table 5 Dark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7">
    <w:name w:val="Grid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8">
    <w:name w:val="Grid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9">
    <w:name w:val="Grid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40">
    <w:name w:val="Grid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1">
    <w:name w:val="Grid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2">
    <w:name w:val="Grid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3">
    <w:name w:val="Grid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5">
    <w:name w:val="Grid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Grid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1 Light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9">
    <w:name w:val="List Table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60">
    <w:name w:val="List Table 2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1">
    <w:name w:val="List Table 2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2">
    <w:name w:val="List Table 2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3">
    <w:name w:val="List Table 2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4">
    <w:name w:val="List Table 2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5">
    <w:name w:val="List Table 2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6">
    <w:name w:val="List Table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3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4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0">
    <w:name w:val="List Table 5 Dark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5 Dark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7">
    <w:name w:val="List Table 6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8">
    <w:name w:val="List Table 6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9">
    <w:name w:val="List Table 6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90">
    <w:name w:val="List Table 6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1">
    <w:name w:val="List Table 6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2">
    <w:name w:val="List Table 6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3">
    <w:name w:val="List Table 6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4">
    <w:name w:val="List Table 7 Colorful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5">
    <w:name w:val="List Table 7 Colorful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6">
    <w:name w:val="List Table 7 Colorful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7">
    <w:name w:val="List Table 7 Colorful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8">
    <w:name w:val="List Table 7 Colorful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9">
    <w:name w:val="List Table 7 Colorful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00">
    <w:name w:val="List Table 7 Colorful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1">
    <w:name w:val="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2">
    <w:name w:val="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3">
    <w:name w:val="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4">
    <w:name w:val="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5">
    <w:name w:val="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6">
    <w:name w:val="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7">
    <w:name w:val="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8">
    <w:name w:val="Bordered &amp; Lined - Accent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9">
    <w:name w:val="Bordered &amp; Lined - Accent 1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0">
    <w:name w:val="Bordered &amp; Lined - Accent 2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1">
    <w:name w:val="Bordered &amp; Lined - Accent 3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2">
    <w:name w:val="Bordered &amp; Lined - Accent 4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3">
    <w:name w:val="Bordered &amp; Lined - Accent 5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4">
    <w:name w:val="Bordered &amp; Lined - Accent 6"/>
    <w:basedOn w:val="83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5">
    <w:name w:val="Bordered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6">
    <w:name w:val="Bordered - Accent 1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7">
    <w:name w:val="Bordered - Accent 2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8">
    <w:name w:val="Bordered - Accent 3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9">
    <w:name w:val="Bordered - Accent 4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20">
    <w:name w:val="Bordered - Accent 5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1">
    <w:name w:val="Bordered - Accent 6"/>
    <w:basedOn w:val="83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2">
    <w:name w:val="Footnote Text Char"/>
    <w:link w:val="845"/>
    <w:uiPriority w:val="99"/>
    <w:rPr>
      <w:sz w:val="18"/>
    </w:rPr>
  </w:style>
  <w:style w:type="paragraph" w:styleId="823">
    <w:name w:val="endnote text"/>
    <w:basedOn w:val="837"/>
    <w:link w:val="824"/>
    <w:uiPriority w:val="99"/>
    <w:semiHidden/>
    <w:unhideWhenUsed/>
    <w:pPr>
      <w:spacing w:after="0" w:line="240" w:lineRule="auto"/>
    </w:pPr>
    <w:rPr>
      <w:sz w:val="20"/>
    </w:rPr>
  </w:style>
  <w:style w:type="character" w:styleId="824">
    <w:name w:val="Endnote Text Char"/>
    <w:link w:val="823"/>
    <w:uiPriority w:val="99"/>
    <w:rPr>
      <w:sz w:val="20"/>
    </w:rPr>
  </w:style>
  <w:style w:type="character" w:styleId="825">
    <w:name w:val="endnote reference"/>
    <w:basedOn w:val="838"/>
    <w:uiPriority w:val="99"/>
    <w:semiHidden/>
    <w:unhideWhenUsed/>
    <w:rPr>
      <w:vertAlign w:val="superscript"/>
    </w:rPr>
  </w:style>
  <w:style w:type="paragraph" w:styleId="826">
    <w:name w:val="toc 1"/>
    <w:basedOn w:val="837"/>
    <w:next w:val="837"/>
    <w:uiPriority w:val="39"/>
    <w:unhideWhenUsed/>
    <w:pPr>
      <w:ind w:left="0" w:right="0" w:firstLine="0"/>
      <w:spacing w:after="57"/>
    </w:pPr>
  </w:style>
  <w:style w:type="paragraph" w:styleId="827">
    <w:name w:val="toc 2"/>
    <w:basedOn w:val="837"/>
    <w:next w:val="837"/>
    <w:uiPriority w:val="39"/>
    <w:unhideWhenUsed/>
    <w:pPr>
      <w:ind w:left="283" w:right="0" w:firstLine="0"/>
      <w:spacing w:after="57"/>
    </w:pPr>
  </w:style>
  <w:style w:type="paragraph" w:styleId="828">
    <w:name w:val="toc 3"/>
    <w:basedOn w:val="837"/>
    <w:next w:val="837"/>
    <w:uiPriority w:val="39"/>
    <w:unhideWhenUsed/>
    <w:pPr>
      <w:ind w:left="567" w:right="0" w:firstLine="0"/>
      <w:spacing w:after="57"/>
    </w:pPr>
  </w:style>
  <w:style w:type="paragraph" w:styleId="829">
    <w:name w:val="toc 4"/>
    <w:basedOn w:val="837"/>
    <w:next w:val="837"/>
    <w:uiPriority w:val="39"/>
    <w:unhideWhenUsed/>
    <w:pPr>
      <w:ind w:left="850" w:right="0" w:firstLine="0"/>
      <w:spacing w:after="57"/>
    </w:pPr>
  </w:style>
  <w:style w:type="paragraph" w:styleId="830">
    <w:name w:val="toc 5"/>
    <w:basedOn w:val="837"/>
    <w:next w:val="837"/>
    <w:uiPriority w:val="39"/>
    <w:unhideWhenUsed/>
    <w:pPr>
      <w:ind w:left="1134" w:right="0" w:firstLine="0"/>
      <w:spacing w:after="57"/>
    </w:pPr>
  </w:style>
  <w:style w:type="paragraph" w:styleId="831">
    <w:name w:val="toc 6"/>
    <w:basedOn w:val="837"/>
    <w:next w:val="837"/>
    <w:uiPriority w:val="39"/>
    <w:unhideWhenUsed/>
    <w:pPr>
      <w:ind w:left="1417" w:right="0" w:firstLine="0"/>
      <w:spacing w:after="57"/>
    </w:pPr>
  </w:style>
  <w:style w:type="paragraph" w:styleId="832">
    <w:name w:val="toc 7"/>
    <w:basedOn w:val="837"/>
    <w:next w:val="837"/>
    <w:uiPriority w:val="39"/>
    <w:unhideWhenUsed/>
    <w:pPr>
      <w:ind w:left="1701" w:right="0" w:firstLine="0"/>
      <w:spacing w:after="57"/>
    </w:pPr>
  </w:style>
  <w:style w:type="paragraph" w:styleId="833">
    <w:name w:val="toc 8"/>
    <w:basedOn w:val="837"/>
    <w:next w:val="837"/>
    <w:uiPriority w:val="39"/>
    <w:unhideWhenUsed/>
    <w:pPr>
      <w:ind w:left="1984" w:right="0" w:firstLine="0"/>
      <w:spacing w:after="57"/>
    </w:pPr>
  </w:style>
  <w:style w:type="paragraph" w:styleId="834">
    <w:name w:val="toc 9"/>
    <w:basedOn w:val="837"/>
    <w:next w:val="837"/>
    <w:uiPriority w:val="39"/>
    <w:unhideWhenUsed/>
    <w:pPr>
      <w:ind w:left="2268" w:right="0" w:firstLine="0"/>
      <w:spacing w:after="57"/>
    </w:pPr>
  </w:style>
  <w:style w:type="paragraph" w:styleId="835">
    <w:name w:val="TOC Heading"/>
    <w:uiPriority w:val="39"/>
    <w:unhideWhenUsed/>
  </w:style>
  <w:style w:type="paragraph" w:styleId="836">
    <w:name w:val="table of figures"/>
    <w:basedOn w:val="837"/>
    <w:next w:val="837"/>
    <w:uiPriority w:val="99"/>
    <w:unhideWhenUsed/>
    <w:pPr>
      <w:spacing w:after="0" w:afterAutospacing="0"/>
    </w:pPr>
  </w:style>
  <w:style w:type="paragraph" w:styleId="837" w:default="1">
    <w:name w:val="Normal"/>
    <w:qFormat/>
    <w:pPr>
      <w:spacing w:after="0" w:line="240" w:lineRule="auto"/>
    </w:pPr>
    <w:rPr>
      <w:rFonts w:ascii="Geneva CY" w:hAnsi="Geneva CY" w:eastAsia="Geneva" w:cs="Times New Roman"/>
      <w:sz w:val="24"/>
      <w:szCs w:val="20"/>
    </w:rPr>
  </w:style>
  <w:style w:type="character" w:styleId="838" w:default="1">
    <w:name w:val="Default Paragraph Font"/>
    <w:uiPriority w:val="1"/>
    <w:semiHidden/>
    <w:unhideWhenUsed/>
  </w:style>
  <w:style w:type="table" w:styleId="83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0" w:default="1">
    <w:name w:val="No List"/>
    <w:uiPriority w:val="99"/>
    <w:semiHidden/>
    <w:unhideWhenUsed/>
  </w:style>
  <w:style w:type="table" w:styleId="841" w:customStyle="1">
    <w:name w:val="Сетка таблицы1"/>
    <w:basedOn w:val="839"/>
    <w:next w:val="842"/>
    <w:uiPriority w:val="59"/>
    <w:pPr>
      <w:jc w:val="both"/>
      <w:spacing w:after="0" w:line="240" w:lineRule="auto"/>
    </w:pPr>
    <w:rPr>
      <w:rFonts w:ascii="Times New Roman" w:hAnsi="Times New Roman" w:eastAsia="Calibri" w:cs="Times New Roman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842">
    <w:name w:val="Table Grid"/>
    <w:basedOn w:val="83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43">
    <w:name w:val="List Paragraph"/>
    <w:basedOn w:val="837"/>
    <w:uiPriority w:val="34"/>
    <w:qFormat/>
    <w:pPr>
      <w:contextualSpacing/>
      <w:ind w:left="720"/>
    </w:pPr>
  </w:style>
  <w:style w:type="character" w:styleId="844">
    <w:name w:val="Hyperlink"/>
    <w:basedOn w:val="838"/>
    <w:uiPriority w:val="99"/>
    <w:semiHidden/>
    <w:unhideWhenUsed/>
    <w:rPr>
      <w:color w:val="0000ff" w:themeColor="hyperlink"/>
      <w:u w:val="single"/>
    </w:rPr>
  </w:style>
  <w:style w:type="paragraph" w:styleId="845">
    <w:name w:val="footnote text"/>
    <w:basedOn w:val="837"/>
    <w:link w:val="846"/>
    <w:uiPriority w:val="99"/>
    <w:unhideWhenUsed/>
    <w:qFormat/>
    <w:rPr>
      <w:sz w:val="20"/>
    </w:rPr>
  </w:style>
  <w:style w:type="character" w:styleId="846" w:customStyle="1">
    <w:name w:val="Текст сноски Знак"/>
    <w:basedOn w:val="838"/>
    <w:link w:val="845"/>
    <w:uiPriority w:val="99"/>
    <w:rPr>
      <w:rFonts w:ascii="Geneva CY" w:hAnsi="Geneva CY" w:eastAsia="Geneva" w:cs="Times New Roman"/>
      <w:sz w:val="20"/>
      <w:szCs w:val="20"/>
    </w:rPr>
  </w:style>
  <w:style w:type="character" w:styleId="847">
    <w:name w:val="footnote reference"/>
    <w:basedOn w:val="838"/>
    <w:uiPriority w:val="99"/>
    <w:unhideWhenUsed/>
    <w:rPr>
      <w:vertAlign w:val="superscript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Буевич</dc:creator>
  <cp:keywords/>
  <dc:description/>
  <cp:revision>31</cp:revision>
  <dcterms:created xsi:type="dcterms:W3CDTF">2021-10-29T04:32:00Z</dcterms:created>
  <dcterms:modified xsi:type="dcterms:W3CDTF">2026-07-13T02:19:31Z</dcterms:modified>
</cp:coreProperties>
</file>